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25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5"/>
        <w:gridCol w:w="6765"/>
        <w:gridCol w:w="1025"/>
        <w:gridCol w:w="994"/>
        <w:gridCol w:w="994"/>
        <w:gridCol w:w="994"/>
        <w:gridCol w:w="988"/>
        <w:gridCol w:w="900"/>
        <w:tblGridChange w:id="0">
          <w:tblGrid>
            <w:gridCol w:w="1965"/>
            <w:gridCol w:w="6765"/>
            <w:gridCol w:w="1025"/>
            <w:gridCol w:w="994"/>
            <w:gridCol w:w="994"/>
            <w:gridCol w:w="994"/>
            <w:gridCol w:w="988"/>
            <w:gridCol w:w="900"/>
          </w:tblGrid>
        </w:tblGridChange>
      </w:tblGrid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DIMENSIÓ HÀBITS, CIVISME I IDENTITAT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COMPETÈNCIA 10: Actuar de forma crítica i responsable en l’ús de les TIC, tot considerant aspectes ètics, legals, de seguretat, de sostenibilitat i d’identitat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Continguts específics / Habilitats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Educació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CM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CS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1r cicle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2n cicle ESO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Entorns virtual segurs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-Promoció d’activitats i cerques en entorns virtuals segur per l’alumnat.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-Consciència sobre la necessitat de privacitat a internet: contrasenyes, entorns virtuals segurs (privat / públic) i protecció de 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-Ús racional de l’accés a internet, ressaltant la importància de no compartir contrasenyes ni de repetir contrasenyes.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Ètica i legalitat de la informació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-Consciència i avaluació crítica de la credibilitat de les fonts d’informació (xat, fòrum, wiki, bloc, correu electrònic).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Drets d’autor i llicències d’ús de la informació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-Coneixement dels drets d’autor i de les llicències de la informació.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Coneixement de les repercussions legals dels drets d’autor i les llicències per a la utilització de la informació.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-Coneixement dels drets d’ús del material web (Copyright, Creative Commons,...).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-Coneixement dels drets d’ús del material que es descarrega de la web (Copyright, Creative Commons,...). Gestionar correctament els materials de producció pròpia tals com treballs i imatges.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Manteniment legal i segur d’equips i documentació /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Antivirus /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Claus d’accés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-Consciència del manteniment segur d’equips: antivirus, intercanvi de fitxers, còpies de seguretat, claus d’accés, intercanvi de fitxers, i programari lliure i de pagament.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-Reflexió sobre els mals usos d’Internet (Internet Segura): assetjament digital, antivirus.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-Coneixement dels tipus de malware que poden afectar el maquinari i les seves repercussions (virus, troians...).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-Activació autònomament del manteniment segur d’equips: antivirus, intercanvi de fitxers i còpies de seguretat. Accés a programari lliure segur, incloent antivirus i anti-malware.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38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Coneixement de la Importància de les còpies de seguretat i de la creació de punts de restauració dels sistemes operatius.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Criteris de sostenibilitat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-Presa de consciència de la importància de tenir cura del planeta; reducció de les impressions innecessàries (ocupar l’espai mínim imprescindible i no acumular documents innecessaris i/o doblats).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Reducció de la brossa digita</w:t>
            </w:r>
            <w:r w:rsidDel="00000000" w:rsidR="00000000" w:rsidRPr="00000000">
              <w:rPr>
                <w:rtl w:val="0"/>
              </w:rPr>
              <w:t xml:space="preserve">l.</w:t>
            </w:r>
            <w:r w:rsidDel="00000000" w:rsidR="00000000" w:rsidRPr="00000000">
              <w:rPr>
                <w:vertAlign w:val="baseline"/>
                <w:rtl w:val="0"/>
              </w:rPr>
              <w:t xml:space="preserve"> Sostenibilitat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Identitat digital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-Presa de consciència de la identitat digital (informació personal penjada a la xarxa) i de les seves repercussions.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-Importància d’exercir una protecció activa de la intimitat pel que fa a la identitat digital (informació personal penjada a la xarxa) i de les seves repercussions. Comprensió dels riscos de compartir informació i imatges personals.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276"/>
        <w:gridCol w:w="10631"/>
        <w:tblGridChange w:id="0">
          <w:tblGrid>
            <w:gridCol w:w="1951"/>
            <w:gridCol w:w="1276"/>
            <w:gridCol w:w="1063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es treballa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contingut no es treball en aquesta edat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 presenta el contingut / Es treballa en grup / El professorat fa ús i ho mostra l’alumnat / Aplicació opcional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Començar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individual de l’alumne guiat pel professorat / Assoliment del contingut en procés / Activitats senzilles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autònom de l’alumne / Assoliment del contingut/Aplicació adequada / Activitats complexes.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08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b w:val="1"/>
        <w:sz w:val="28"/>
        <w:szCs w:val="28"/>
        <w:u w:val="single"/>
        <w:vertAlign w:val="baseline"/>
        <w:rtl w:val="0"/>
      </w:rPr>
      <w:t xml:space="preserve">Taules de seqüenciació de les competències digitals</w:t>
    </w:r>
    <w:r w:rsidDel="00000000" w:rsidR="00000000" w:rsidRPr="00000000">
      <w:rPr>
        <w:sz w:val="28"/>
        <w:szCs w:val="28"/>
        <w:vertAlign w:val="baseline"/>
        <w:rtl w:val="0"/>
      </w:rPr>
      <w:tab/>
      <w:tab/>
      <w:tab/>
      <w:tab/>
      <w:tab/>
      <w:t xml:space="preserve">    </w:t>
      <w:tab/>
      <w:t xml:space="preserve">      </w:t>
    </w:r>
    <w:r w:rsidDel="00000000" w:rsidR="00000000" w:rsidRPr="00000000">
      <w:rPr>
        <w:b w:val="1"/>
        <w:i w:val="1"/>
        <w:sz w:val="28"/>
        <w:szCs w:val="28"/>
        <w:vertAlign w:val="baseline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