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1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7"/>
        <w:gridCol w:w="6479"/>
        <w:gridCol w:w="1025"/>
        <w:gridCol w:w="994"/>
        <w:gridCol w:w="994"/>
        <w:gridCol w:w="994"/>
        <w:gridCol w:w="968"/>
        <w:gridCol w:w="885"/>
        <w:tblGridChange w:id="0">
          <w:tblGrid>
            <w:gridCol w:w="2277"/>
            <w:gridCol w:w="6479"/>
            <w:gridCol w:w="1025"/>
            <w:gridCol w:w="994"/>
            <w:gridCol w:w="994"/>
            <w:gridCol w:w="994"/>
            <w:gridCol w:w="968"/>
            <w:gridCol w:w="885"/>
          </w:tblGrid>
        </w:tblGridChange>
      </w:tblGrid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DIMENSIÓ COMUNICACIÓ INTERPERSONAL I COL·LABORACIÓ</w:t>
            </w:r>
          </w:p>
        </w:tc>
      </w:tr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7: Participar en entorns de comunicació interpersonal i publicacions virtuals per compartir informació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 Clau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 específics /Habilitats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 Primària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CM Primària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Primària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1r cicle ESO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 cicle ESO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Eines i aplicacions digitals de comunicació (blog, correu electrònic, fòrum, xat...)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el correu electrònic com a mitjà de comunicació.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el format del correu electrònic: destinataris, assumpte, missatge,...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Crear un correu electrònic.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Enviar un correu electrònic amb una finalitat comunicativa determinada.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Donar d’alta contactes nous i fer grups.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i fer ús de les diferents carpetes del correu electrònic: esborranys, enviats, rebuts, correu brossa, arxivar correus,...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Gestionar les etiquetes dels correus i crear noves.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Eines i aplicacions digitals per a la gestió de tasques col·laboratives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diferents recursos per la planificació i gestió de tasques col·laboratives (doodle, drive, dropbox, forums...).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Utilitzar un recurs digital per planificar una trobada de grup.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Utilitzar un recurs digital per distribuir tasques en grup.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Utilitzar un recurs digital per realitzar una tasca en grup.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Tipus de comunicació: síncrona/asíncrona; pública/privada; uni/bi/multidireccional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i identificar els diferents tipus de comunicació.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 diferents eines i plataformes per als diferents tipus de comunicació.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Identificar el tipus de comunicació més adient per cada tipus de treball col·laboratiu.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Utilitzar eines de comunicació efectives per la realització de tasques.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Normes de cortesia a la xarxa (netiqueta)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Comportar-se de forma adequada i educada dins la xarxa.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Identificar comportaments no adequats a la xarxa i utilitzar els mitjans disponibles per evitar-los.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8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276"/>
        <w:gridCol w:w="10631"/>
        <w:tblGridChange w:id="0">
          <w:tblGrid>
            <w:gridCol w:w="1951"/>
            <w:gridCol w:w="1276"/>
            <w:gridCol w:w="1063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Gradació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Explicació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es treballa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 contingut no es treball en aquesta edat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 presenta el contingut / Es treballa en grup / El professorat fa ús i ho mostra l’alumnat / Aplicació opcional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Començar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individual de l’alumne guiat pel professorat / Assoliment del contingut en procés / Activitats senzilles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Aplicar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autònom de l’alumne / Assoliment del contingut/Aplicació adequada / Activitats complexes.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Taules de seqüenciació de les competències digitals</w:t>
    </w:r>
    <w:r w:rsidDel="00000000" w:rsidR="00000000" w:rsidRPr="00000000">
      <w:rPr>
        <w:sz w:val="28"/>
        <w:szCs w:val="28"/>
        <w:rtl w:val="0"/>
      </w:rPr>
      <w:tab/>
      <w:tab/>
      <w:tab/>
      <w:tab/>
      <w:tab/>
      <w:tab/>
      <w:t xml:space="preserve">    </w:t>
      <w:tab/>
      <w:t xml:space="preserve">      </w:t>
    </w:r>
    <w:r w:rsidDel="00000000" w:rsidR="00000000" w:rsidRPr="00000000">
      <w:rPr>
        <w:b w:val="1"/>
        <w:i w:val="1"/>
        <w:sz w:val="28"/>
        <w:szCs w:val="28"/>
        <w:rtl w:val="0"/>
      </w:rPr>
      <w:t xml:space="preserve">Seminari TAC Bigues i Riells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