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4616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7"/>
        <w:gridCol w:w="6774"/>
        <w:gridCol w:w="1025"/>
        <w:gridCol w:w="994"/>
        <w:gridCol w:w="994"/>
        <w:gridCol w:w="994"/>
        <w:gridCol w:w="988"/>
        <w:gridCol w:w="900"/>
        <w:tblGridChange w:id="0">
          <w:tblGrid>
            <w:gridCol w:w="1947"/>
            <w:gridCol w:w="6774"/>
            <w:gridCol w:w="1025"/>
            <w:gridCol w:w="994"/>
            <w:gridCol w:w="994"/>
            <w:gridCol w:w="994"/>
            <w:gridCol w:w="988"/>
            <w:gridCol w:w="900"/>
          </w:tblGrid>
        </w:tblGridChange>
      </w:tblGrid>
      <w:tr>
        <w:trPr>
          <w:trHeight w:val="380" w:hRule="atLeast"/>
        </w:trPr>
        <w:tc>
          <w:tcPr>
            <w:gridSpan w:val="8"/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DIMENSIÓ CIUTADANIA, HÀBITS, CIVISME I IDENTITAT DIGITAL</w:t>
            </w:r>
          </w:p>
        </w:tc>
      </w:tr>
      <w:tr>
        <w:trPr>
          <w:trHeight w:val="380" w:hRule="atLeast"/>
        </w:trPr>
        <w:tc>
          <w:tcPr>
            <w:gridSpan w:val="8"/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COMPETÈNCIA 11: Realitzar accions de ciutadania i de desenvolupament personal, tot utilitzant els recursos digitals propis de la societat actual</w:t>
            </w:r>
          </w:p>
        </w:tc>
      </w:tr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Continguts Clau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Continguts específics /Habilitats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Educació Infantil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 Primària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CM Primària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CS Primària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1r cicle ESO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2n cicle ESO</w:t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Tràmits, gestions i compres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Fer simulacions de gestions administratives digitals (tràmits, gestions,...)</w:t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00b0f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Fer simulacions de compres via web (entrades de teatre o concerts, bitllets de transport, allotjaments, objectes...).</w:t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00b0f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Fer reclamacions o suggeriments via web a un organisme oficial (Ajuntament, Generalitat...)</w:t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00b0f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Conèixer i participar en campanyes d’acció cívica via web.</w:t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00b0f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Dissenyar campanyes d’acció cívica via web.</w:t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00b0f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Lleure i cultura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Conèixer i navegar per portals web de lleure i cultura (premsa, canals culturals, xarxes socials...).</w:t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00b0f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Donar-se d’alta i de baixa a informacions i actualitzacions de premsa i portals temàtics.</w:t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00b0f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Aprenentatge permanent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Conèixer webs d’aprenentatge permanent (formal i informal): centres d’estudis a distància, universitats, portals temàtics...</w:t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00b0f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Identitat digital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Conèixer i analitzar l’empremta digital i el seu impacte de diverses persones, empreses, entitats...</w:t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00b0f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Conèixer i analitzar el concepte d’identitat digital i els elements que ajuden a construir-la.</w:t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00b0f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Seguretat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Analitzar el tipus de dades personals que es poden facilitar en funció del web on et registres.</w:t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00b0f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Selecció, catalogació, emmagatzematge i compartició de la informació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Conèixer les diferents </w:t>
            </w:r>
            <w:hyperlink r:id="rId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estructures de navegació</w:t>
              </w:r>
            </w:hyperlink>
            <w:r w:rsidDel="00000000" w:rsidR="00000000" w:rsidRPr="00000000">
              <w:rPr>
                <w:rtl w:val="0"/>
              </w:rPr>
              <w:t xml:space="preserve"> web (lineal, jeràrquica, xarxa...) i identificar-les en una web determinada</w:t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00b0f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Navegar per tot tipus d’estructures de navegació, per tal d’assolir uns requeriments d’informació i/o actuació.</w:t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00b0f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385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1"/>
        <w:gridCol w:w="1276"/>
        <w:gridCol w:w="10631"/>
        <w:tblGridChange w:id="0">
          <w:tblGrid>
            <w:gridCol w:w="1951"/>
            <w:gridCol w:w="1276"/>
            <w:gridCol w:w="10631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Gradació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Color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Explicació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 es treballa</w:t>
            </w:r>
          </w:p>
        </w:tc>
        <w:tc>
          <w:tcPr>
            <w:shd w:fill="ff0000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El contingut no es treball en aquesta edat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Conèixer</w:t>
            </w:r>
          </w:p>
        </w:tc>
        <w:tc>
          <w:tcPr>
            <w:shd w:fill="ffff0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      1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Es presenta el contingut / Es treballa en grup / El professorat fa ús i ho mostra l’alumnat / Aplicació opcional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Començar</w:t>
            </w:r>
          </w:p>
        </w:tc>
        <w:tc>
          <w:tcPr>
            <w:shd w:fill="00b05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      2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Ús individual de l’alumne guiat pel professorat / Assoliment del contingut en procés / Activitats senzilles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Aplicar</w:t>
            </w:r>
          </w:p>
        </w:tc>
        <w:tc>
          <w:tcPr>
            <w:shd w:fill="0070c0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     3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Ús autònom de l’alumne / Assoliment del contingut/Aplicació adequada / Activitats complexes.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Taules de seqüenciació de les competències digitals</w:t>
    </w:r>
    <w:r w:rsidDel="00000000" w:rsidR="00000000" w:rsidRPr="00000000">
      <w:rPr>
        <w:sz w:val="28"/>
        <w:szCs w:val="28"/>
        <w:rtl w:val="0"/>
      </w:rPr>
      <w:tab/>
      <w:tab/>
      <w:tab/>
      <w:tab/>
      <w:tab/>
      <w:t xml:space="preserve">    </w:t>
      <w:tab/>
      <w:t xml:space="preserve">      </w:t>
    </w:r>
    <w:r w:rsidDel="00000000" w:rsidR="00000000" w:rsidRPr="00000000">
      <w:rPr>
        <w:b w:val="1"/>
        <w:i w:val="1"/>
        <w:sz w:val="28"/>
        <w:szCs w:val="28"/>
        <w:rtl w:val="0"/>
      </w:rPr>
      <w:t xml:space="preserve">Seminari TAC Bigues i Riells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/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pBdr/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ite.educacion.es/formacion/materiales/107/cd/html/html1304.html" TargetMode="External"/><Relationship Id="rId6" Type="http://schemas.openxmlformats.org/officeDocument/2006/relationships/header" Target="header1.xml"/></Relationships>
</file>